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44677">
      <w:pPr>
        <w:pStyle w:val="2"/>
        <w:widowControl/>
        <w:shd w:val="clear" w:color="auto" w:fill="F9FAFB"/>
        <w:spacing w:beforeAutospacing="0" w:after="120" w:afterAutospacing="0" w:line="360" w:lineRule="atLeast"/>
        <w:jc w:val="center"/>
        <w:rPr>
          <w:rFonts w:hint="default" w:ascii="Times New Roman" w:hAnsi="Times New Roman" w:eastAsia="黑体"/>
          <w:kern w:val="2"/>
          <w:sz w:val="30"/>
          <w:szCs w:val="30"/>
        </w:rPr>
      </w:pPr>
      <w:r>
        <w:rPr>
          <w:rFonts w:hint="default" w:ascii="Times New Roman" w:hAnsi="Times New Roman" w:eastAsia="黑体"/>
          <w:kern w:val="2"/>
          <w:sz w:val="30"/>
          <w:szCs w:val="30"/>
        </w:rPr>
        <w:t>《</w:t>
      </w:r>
      <w:r>
        <w:rPr>
          <w:rFonts w:ascii="Times New Roman" w:hAnsi="Times New Roman" w:eastAsia="黑体"/>
          <w:kern w:val="2"/>
          <w:sz w:val="30"/>
          <w:szCs w:val="30"/>
        </w:rPr>
        <w:t>组织工程产品 含细胞组织工程软骨体外构建质量要求</w:t>
      </w:r>
      <w:r>
        <w:rPr>
          <w:rFonts w:hint="default" w:ascii="Times New Roman" w:hAnsi="Times New Roman" w:eastAsia="黑体"/>
          <w:kern w:val="2"/>
          <w:sz w:val="30"/>
          <w:szCs w:val="30"/>
        </w:rPr>
        <w:t>》</w:t>
      </w:r>
    </w:p>
    <w:p w14:paraId="5FAC55BE">
      <w:pPr>
        <w:pStyle w:val="2"/>
        <w:widowControl/>
        <w:shd w:val="clear" w:color="auto" w:fill="F9FAFB"/>
        <w:spacing w:beforeAutospacing="0" w:after="120" w:afterAutospacing="0" w:line="360" w:lineRule="atLeast"/>
        <w:jc w:val="center"/>
        <w:rPr>
          <w:rFonts w:hint="default" w:ascii="Times New Roman" w:hAnsi="Times New Roman" w:eastAsia="黑体"/>
          <w:kern w:val="2"/>
          <w:sz w:val="30"/>
          <w:szCs w:val="30"/>
        </w:rPr>
      </w:pPr>
      <w:r>
        <w:rPr>
          <w:rFonts w:hint="default" w:ascii="Times New Roman" w:hAnsi="Times New Roman" w:eastAsia="黑体"/>
          <w:kern w:val="2"/>
          <w:sz w:val="30"/>
          <w:szCs w:val="30"/>
        </w:rPr>
        <w:t>征求意见稿编制说明</w:t>
      </w:r>
    </w:p>
    <w:p w14:paraId="1B624C93">
      <w:pPr>
        <w:pStyle w:val="3"/>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一、工作简况</w:t>
      </w:r>
    </w:p>
    <w:p w14:paraId="734A70A4">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（一）任务来源</w:t>
      </w:r>
    </w:p>
    <w:p w14:paraId="44B6A7D7">
      <w:pPr>
        <w:widowControl/>
        <w:shd w:val="clear" w:color="auto" w:fill="FFFFFF"/>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shd w:val="clear" w:color="auto" w:fill="FFFFFF"/>
          <w:lang w:bidi="ar"/>
        </w:rPr>
        <w:t>从公开标准体系看，组织工程软骨领域虽已发布YY/T 1810-2022、ISO 13019:2018等终点检测方法文件，但均止步于“原材料或成品”单项指标，缺少覆盖14-28天构建周期内监测节点、分级判定和记录模板的专用技术规范。这一空白直接导致同一实验室不同批次构建成功率差异显著，注册检验中因过程记录不完整或阈值不统一而被发补的情况频繁出现。为填补这一空白，提升治疗质量，依据相关行业规范，</w:t>
      </w:r>
      <w:r>
        <w:rPr>
          <w:rFonts w:ascii="宋体" w:hAnsi="宋体" w:eastAsia="宋体" w:cs="宋体"/>
          <w:kern w:val="0"/>
          <w:sz w:val="21"/>
          <w:szCs w:val="21"/>
          <w:shd w:val="clear" w:color="auto" w:fill="FFFFFF"/>
          <w:lang w:bidi="ar"/>
        </w:rPr>
        <w:t>依据《中国药典》《细胞治疗产品生产质量管理指南》及相关行业规范，提出《组织工程产品 含细胞组织工程软骨体外构建质量要求》团体标准立项申请</w:t>
      </w:r>
      <w:r>
        <w:rPr>
          <w:rFonts w:hint="eastAsia" w:ascii="宋体" w:hAnsi="宋体" w:eastAsia="宋体" w:cs="宋体"/>
          <w:kern w:val="0"/>
          <w:sz w:val="21"/>
          <w:szCs w:val="21"/>
          <w:shd w:val="clear" w:color="auto" w:fill="FFFFFF"/>
          <w:lang w:bidi="ar"/>
        </w:rPr>
        <w:t>。经</w:t>
      </w:r>
      <w:r>
        <w:rPr>
          <w:rFonts w:hint="eastAsia" w:ascii="宋体" w:hAnsi="宋体" w:eastAsia="宋体" w:cs="宋体"/>
          <w:sz w:val="21"/>
          <w:szCs w:val="21"/>
        </w:rPr>
        <w:t>中国食品药品企业质量安全促进会</w:t>
      </w:r>
      <w:r>
        <w:rPr>
          <w:rFonts w:hint="eastAsia" w:ascii="宋体" w:hAnsi="宋体" w:eastAsia="宋体" w:cs="宋体"/>
          <w:kern w:val="0"/>
          <w:sz w:val="21"/>
          <w:szCs w:val="21"/>
          <w:shd w:val="clear" w:color="auto" w:fill="FFFFFF"/>
          <w:lang w:bidi="ar"/>
        </w:rPr>
        <w:t>组织专家审议后批准立项。</w:t>
      </w:r>
    </w:p>
    <w:p w14:paraId="6F2F3BB8">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（二）目的、意义及必要性</w:t>
      </w:r>
    </w:p>
    <w:p w14:paraId="3947CACD">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随着组织工程技术和再生医学的快速发展，含细胞组织工程软骨产品已成为治疗关节软骨组织损伤的重要手段，我国已有多个产品进入临床研究阶段。然而，行业面临体外构建过程质量控制标准缺失的关键瓶颈，各研发机构构建方法不统一、过程控制不规范、质量评价标准各异，导致产品质量不稳定、结果不可比，严重制约了产业健康发展。本项目旨在规范过程控制参数，建立系统化的质量评价体系，为行业提供可操作的技术依据。</w:t>
      </w:r>
    </w:p>
    <w:p w14:paraId="123BED46">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本标准具有重要的科学价值和产业意义。为研发企业提供明确的技术指南，降低研发风险，提高研发效率；通过统一过程控制参数和质量评价方法，确保产品质量一致性，为产品规模化生产奠定基础；通过标准引领，推动企业从经验式研发向标准化、规范化研发转变，提升我国组织工程软骨产品的整体质量水平和国际竞争力。</w:t>
      </w:r>
    </w:p>
    <w:p w14:paraId="200A3EE5">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本标准的制定具有必要性。政策层面，落实医疗器械创新发展要求，响应生物经济规划部署。技术层面，现有标准体系存在明显缺口：YY/T 0606.12—2007仅提供细胞处理一般原则，YY/T 1562—2017和YY/T 1810—2022等标准侧重单一方面的检测方法，缺乏全过程质量控制规范。市场层面，含细胞组织工程软骨应用领域关节软骨损伤患者数量庞大，亟需标准规范市场秩序。监管层面，监管机构亟需技术标准支撑科学审评。</w:t>
      </w:r>
    </w:p>
    <w:p w14:paraId="3EE317BF">
      <w:pPr>
        <w:widowControl/>
        <w:shd w:val="clear" w:color="auto" w:fill="FFFFFF"/>
        <w:spacing w:line="360" w:lineRule="auto"/>
        <w:ind w:firstLine="420" w:firstLineChars="200"/>
        <w:jc w:val="left"/>
        <w:rPr>
          <w:rFonts w:cs="宋体"/>
          <w:b/>
          <w:bCs/>
          <w:sz w:val="21"/>
          <w:szCs w:val="21"/>
          <w:shd w:val="clear" w:color="auto" w:fill="FFFFFF"/>
          <w:lang w:bidi="ar"/>
        </w:rPr>
      </w:pPr>
      <w:r>
        <w:rPr>
          <w:rFonts w:hint="eastAsia" w:ascii="宋体" w:hAnsi="宋体" w:eastAsia="宋体" w:cs="宋体"/>
          <w:kern w:val="0"/>
          <w:sz w:val="21"/>
          <w:szCs w:val="21"/>
          <w:shd w:val="clear" w:color="auto" w:fill="FFFFFF"/>
          <w:lang w:bidi="ar"/>
        </w:rPr>
        <w:t>本标准将填补组织工程软骨产品标准体系的关键环节，有效连接基础标准与评价标准，为含细胞组织工程软骨产品的规范化研发和生产提供重要技术支撑，对保障患者用械安全、促进产业高质量发展具有重要意义。</w:t>
      </w:r>
    </w:p>
    <w:p w14:paraId="78C0EAA1">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（三）团体标准起草单位和主要起草人</w:t>
      </w:r>
    </w:p>
    <w:p w14:paraId="45E3A77D">
      <w:pPr>
        <w:widowControl/>
        <w:shd w:val="clear" w:color="auto" w:fill="FFFFFF"/>
        <w:spacing w:line="360" w:lineRule="auto"/>
        <w:jc w:val="left"/>
        <w:rPr>
          <w:rFonts w:hint="eastAsia" w:ascii="宋体" w:hAnsi="宋体" w:eastAsia="宋体" w:cs="宋体"/>
          <w:sz w:val="24"/>
        </w:rPr>
      </w:pPr>
      <w:r>
        <w:rPr>
          <w:rFonts w:hint="eastAsia" w:ascii="宋体" w:hAnsi="宋体" w:eastAsia="宋体" w:cs="宋体"/>
          <w:kern w:val="0"/>
          <w:sz w:val="24"/>
          <w:shd w:val="clear" w:color="auto" w:fill="FFFFFF"/>
          <w:lang w:bidi="ar"/>
        </w:rPr>
        <w:t>立项申请单位：</w:t>
      </w:r>
      <w:r>
        <w:rPr>
          <w:rFonts w:hint="eastAsia" w:ascii="宋体" w:hAnsi="宋体" w:eastAsia="宋体" w:cs="宋体"/>
          <w:kern w:val="0"/>
          <w:sz w:val="24"/>
          <w:shd w:val="clear" w:color="auto" w:fill="FFFFFF"/>
          <w:lang w:bidi="ar"/>
        </w:rPr>
        <w:br w:type="textWrapping"/>
      </w:r>
      <w:r>
        <w:rPr>
          <w:rFonts w:hint="eastAsia" w:ascii="宋体" w:hAnsi="宋体" w:eastAsia="宋体" w:cs="宋体"/>
          <w:sz w:val="24"/>
        </w:rPr>
        <w:t>本标准牵头起草人</w:t>
      </w:r>
      <w:r>
        <w:rPr>
          <w:rFonts w:hint="eastAsia" w:ascii="宋体" w:hAnsi="宋体" w:eastAsia="宋体" w:cs="宋体"/>
          <w:kern w:val="0"/>
          <w:sz w:val="24"/>
          <w:shd w:val="clear" w:color="auto" w:fill="FFFFFF"/>
          <w:lang w:bidi="ar"/>
        </w:rPr>
        <w:t>：</w:t>
      </w:r>
    </w:p>
    <w:p w14:paraId="4130236C">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（四）参与单位</w:t>
      </w:r>
    </w:p>
    <w:p w14:paraId="7737A5B0">
      <w:pPr>
        <w:widowControl/>
        <w:shd w:val="clear" w:color="auto" w:fill="FFFFFF"/>
        <w:spacing w:line="360" w:lineRule="auto"/>
        <w:jc w:val="left"/>
        <w:rPr>
          <w:rFonts w:hint="eastAsia" w:ascii="宋体" w:hAnsi="宋体" w:eastAsia="宋体" w:cs="宋体"/>
          <w:kern w:val="0"/>
          <w:sz w:val="24"/>
          <w:shd w:val="clear" w:color="auto" w:fill="FFFFFF"/>
          <w:lang w:bidi="ar"/>
        </w:rPr>
      </w:pPr>
    </w:p>
    <w:p w14:paraId="264CD0EF">
      <w:pPr>
        <w:widowControl/>
        <w:shd w:val="clear" w:color="auto" w:fill="FFFFFF"/>
        <w:spacing w:line="360" w:lineRule="auto"/>
        <w:jc w:val="left"/>
        <w:rPr>
          <w:rFonts w:hint="eastAsia" w:ascii="宋体" w:hAnsi="宋体" w:eastAsia="宋体" w:cs="宋体"/>
          <w:kern w:val="0"/>
          <w:sz w:val="24"/>
          <w:shd w:val="clear" w:color="auto" w:fill="FFFFFF"/>
          <w:lang w:bidi="ar"/>
        </w:rPr>
      </w:pPr>
    </w:p>
    <w:p w14:paraId="5B945408">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（五）主要工作</w:t>
      </w:r>
    </w:p>
    <w:p w14:paraId="5D7A4FE5">
      <w:pPr>
        <w:widowControl/>
        <w:spacing w:line="360" w:lineRule="auto"/>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1.起草阶段</w:t>
      </w:r>
    </w:p>
    <w:p w14:paraId="62959231">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shd w:val="clear" w:color="auto" w:fill="FFFFFF"/>
        </w:rPr>
        <w:t>立项后，迅速组建标准制定工作组。根据成员单位专长，设立</w:t>
      </w:r>
      <w:r>
        <w:rPr>
          <w:rFonts w:ascii="宋体" w:hAnsi="宋体" w:eastAsia="宋体" w:cs="宋体"/>
          <w:color w:val="000000"/>
          <w:sz w:val="21"/>
          <w:szCs w:val="21"/>
          <w:shd w:val="clear" w:color="auto" w:fill="FFFFFF"/>
        </w:rPr>
        <w:t>过程控制、质量控制、检测方法、文件追溯</w:t>
      </w:r>
      <w:r>
        <w:rPr>
          <w:rFonts w:hint="eastAsia" w:ascii="宋体" w:hAnsi="宋体" w:eastAsia="宋体" w:cs="宋体"/>
          <w:color w:val="000000"/>
          <w:sz w:val="21"/>
          <w:szCs w:val="21"/>
          <w:shd w:val="clear" w:color="auto" w:fill="FFFFFF"/>
        </w:rPr>
        <w:t>等多个起草小组，明确各小组职责。</w:t>
      </w:r>
    </w:p>
    <w:p w14:paraId="27D05C42">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shd w:val="clear" w:color="auto" w:fill="FFFFFF"/>
        </w:rPr>
        <w:t>制定详细的工作计划，规划起草流程的时间节点，包括资料收集、初稿撰写、内部讨论、修改完善、</w:t>
      </w:r>
      <w:r>
        <w:rPr>
          <w:rFonts w:ascii="宋体" w:hAnsi="宋体" w:eastAsia="宋体" w:cs="宋体"/>
          <w:color w:val="000000"/>
          <w:sz w:val="21"/>
          <w:szCs w:val="21"/>
          <w:shd w:val="clear" w:color="auto" w:fill="FFFFFF"/>
        </w:rPr>
        <w:t>专家审评、征求意见</w:t>
      </w:r>
      <w:r>
        <w:rPr>
          <w:rFonts w:hint="eastAsia" w:ascii="宋体" w:hAnsi="宋体" w:eastAsia="宋体" w:cs="宋体"/>
          <w:color w:val="000000"/>
          <w:sz w:val="21"/>
          <w:szCs w:val="21"/>
          <w:shd w:val="clear" w:color="auto" w:fill="FFFFFF"/>
        </w:rPr>
        <w:t>等关键环节的具体时间安排。</w:t>
      </w:r>
    </w:p>
    <w:p w14:paraId="381A8AFD">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shd w:val="clear" w:color="auto" w:fill="FFFFFF"/>
        </w:rPr>
        <w:t>各起草小组广泛收集国内外相关文献、</w:t>
      </w:r>
      <w:r>
        <w:rPr>
          <w:rFonts w:ascii="宋体" w:hAnsi="宋体" w:eastAsia="宋体" w:cs="宋体"/>
          <w:color w:val="000000"/>
          <w:sz w:val="21"/>
          <w:szCs w:val="21"/>
          <w:shd w:val="clear" w:color="auto" w:fill="FFFFFF"/>
        </w:rPr>
        <w:t>多中心验证数据</w:t>
      </w:r>
      <w:r>
        <w:rPr>
          <w:rFonts w:hint="eastAsia" w:ascii="宋体" w:hAnsi="宋体" w:eastAsia="宋体" w:cs="宋体"/>
          <w:color w:val="000000"/>
          <w:sz w:val="21"/>
          <w:szCs w:val="21"/>
          <w:shd w:val="clear" w:color="auto" w:fill="FFFFFF"/>
        </w:rPr>
        <w:t>、行业专家意见等资料，重点参考</w:t>
      </w:r>
      <w:r>
        <w:rPr>
          <w:rFonts w:ascii="宋体" w:hAnsi="宋体" w:eastAsia="宋体" w:cs="宋体"/>
          <w:color w:val="000000"/>
          <w:sz w:val="21"/>
          <w:szCs w:val="21"/>
          <w:shd w:val="clear" w:color="auto" w:fill="FFFFFF"/>
        </w:rPr>
        <w:t>《细胞治疗产品生产质量管理指南》</w:t>
      </w:r>
      <w:r>
        <w:rPr>
          <w:rFonts w:hint="eastAsia" w:ascii="宋体" w:hAnsi="宋体" w:eastAsia="宋体" w:cs="宋体"/>
          <w:color w:val="000000"/>
          <w:sz w:val="21"/>
          <w:szCs w:val="21"/>
          <w:shd w:val="clear" w:color="auto" w:fill="FFFFFF"/>
        </w:rPr>
        <w:t>等参考文献。基于这些资料，结合自身经验，起草各自负责部分的内容，形成标准初稿。</w:t>
      </w:r>
    </w:p>
    <w:p w14:paraId="4695B8AE">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shd w:val="clear" w:color="auto" w:fill="FFFFFF"/>
        </w:rPr>
        <w:t>组织多次内部研讨会，对初稿进行深入讨论和修改。邀请行业权威专家对修改后的稿件进行评审，根据专家意见再次完善，形成标准征求意见稿。</w:t>
      </w:r>
    </w:p>
    <w:p w14:paraId="7CA736AE">
      <w:pPr>
        <w:widowControl/>
        <w:numPr>
          <w:ilvl w:val="0"/>
          <w:numId w:val="1"/>
        </w:numPr>
        <w:spacing w:line="360" w:lineRule="auto"/>
        <w:rPr>
          <w:rFonts w:hint="eastAsia" w:ascii="宋体" w:hAnsi="宋体" w:eastAsia="宋体" w:cs="宋体"/>
          <w:color w:val="000000"/>
          <w:sz w:val="21"/>
          <w:szCs w:val="21"/>
          <w:shd w:val="clear" w:color="auto" w:fill="FFFFFF"/>
        </w:rPr>
      </w:pPr>
      <w:r>
        <w:rPr>
          <w:rStyle w:val="9"/>
          <w:rFonts w:hint="eastAsia" w:ascii="宋体" w:hAnsi="宋体" w:eastAsia="宋体" w:cs="宋体"/>
          <w:b w:val="0"/>
          <w:color w:val="000000"/>
          <w:sz w:val="21"/>
          <w:szCs w:val="21"/>
          <w:shd w:val="clear" w:color="auto" w:fill="FFFFFF"/>
        </w:rPr>
        <w:t>征求意见阶段</w:t>
      </w:r>
      <w:r>
        <w:rPr>
          <w:rFonts w:hint="eastAsia" w:ascii="宋体" w:hAnsi="宋体" w:eastAsia="宋体" w:cs="宋体"/>
          <w:color w:val="000000"/>
          <w:sz w:val="21"/>
          <w:szCs w:val="21"/>
          <w:shd w:val="clear" w:color="auto" w:fill="FFFFFF"/>
        </w:rPr>
        <w:t>：</w:t>
      </w:r>
    </w:p>
    <w:p w14:paraId="7C08EB92">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shd w:val="clear" w:color="auto" w:fill="FFFFFF"/>
        </w:rPr>
        <w:t>通过多种渠道向行业内</w:t>
      </w:r>
      <w:r>
        <w:rPr>
          <w:rFonts w:ascii="宋体" w:hAnsi="宋体" w:eastAsia="宋体" w:cs="宋体"/>
          <w:color w:val="000000"/>
          <w:sz w:val="21"/>
          <w:szCs w:val="21"/>
          <w:shd w:val="clear" w:color="auto" w:fill="FFFFFF"/>
        </w:rPr>
        <w:t>医疗机构、科研单位、CDMO 企业</w:t>
      </w:r>
      <w:r>
        <w:rPr>
          <w:rFonts w:hint="eastAsia" w:ascii="宋体" w:hAnsi="宋体" w:eastAsia="宋体" w:cs="宋体"/>
          <w:color w:val="000000"/>
          <w:sz w:val="21"/>
          <w:szCs w:val="21"/>
          <w:shd w:val="clear" w:color="auto" w:fill="FFFFFF"/>
        </w:rPr>
        <w:t>等广泛征求意见，确保标准的科学性、实用性和可操作性。</w:t>
      </w:r>
    </w:p>
    <w:p w14:paraId="77ED7043">
      <w:pPr>
        <w:pStyle w:val="3"/>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二、标准编制原则和确定标准主要内容的依据</w:t>
      </w:r>
    </w:p>
    <w:p w14:paraId="5C49BB4E">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（一）标准编制原则</w:t>
      </w:r>
    </w:p>
    <w:p w14:paraId="6402573A">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1.科学性原则</w:t>
      </w:r>
      <w:r>
        <w:rPr>
          <w:rFonts w:hint="eastAsia" w:ascii="宋体" w:hAnsi="宋体" w:eastAsia="宋体" w:cs="宋体"/>
          <w:color w:val="000000"/>
          <w:sz w:val="21"/>
          <w:szCs w:val="21"/>
          <w:shd w:val="clear" w:color="auto" w:fill="FFFFFF"/>
        </w:rPr>
        <w:t>：以 YY/T 1810-2022、YY/T 1562-2017、ISO 13019:2018 及多中心文献数据为基础，确保过程节点与阈值科学合理。</w:t>
      </w:r>
    </w:p>
    <w:p w14:paraId="72713FA5">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2.实用性原则</w:t>
      </w:r>
      <w:r>
        <w:rPr>
          <w:rFonts w:hint="eastAsia" w:ascii="宋体" w:hAnsi="宋体" w:eastAsia="宋体" w:cs="宋体"/>
          <w:color w:val="000000"/>
          <w:sz w:val="21"/>
          <w:szCs w:val="21"/>
          <w:shd w:val="clear" w:color="auto" w:fill="FFFFFF"/>
        </w:rPr>
        <w:t>：参数直接对应现有试剂说明书与设备操作手册，无需新增硬件即可实施。</w:t>
      </w:r>
    </w:p>
    <w:p w14:paraId="3685AD43">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3.规范性原则</w:t>
      </w:r>
      <w:r>
        <w:rPr>
          <w:rFonts w:hint="eastAsia" w:ascii="宋体" w:hAnsi="宋体" w:eastAsia="宋体" w:cs="宋体"/>
          <w:color w:val="000000"/>
          <w:sz w:val="21"/>
          <w:szCs w:val="21"/>
          <w:shd w:val="clear" w:color="auto" w:fill="FFFFFF"/>
        </w:rPr>
        <w:t>：严格遵循相关标准规范进行编写，保证标准的格式统一、内容规范。</w:t>
      </w:r>
    </w:p>
    <w:p w14:paraId="7A8074D1">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4.协调性原则</w:t>
      </w:r>
      <w:r>
        <w:rPr>
          <w:rFonts w:hint="eastAsia" w:ascii="宋体" w:hAnsi="宋体" w:eastAsia="宋体" w:cs="宋体"/>
          <w:color w:val="000000"/>
          <w:sz w:val="21"/>
          <w:szCs w:val="21"/>
          <w:shd w:val="clear" w:color="auto" w:fill="FFFFFF"/>
        </w:rPr>
        <w:t>：与现行法律法规、其他相关行业标准保持协调一致，避免冲突。</w:t>
      </w:r>
    </w:p>
    <w:p w14:paraId="435C571F">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（二）确定标准主要内容的依据</w:t>
      </w:r>
    </w:p>
    <w:p w14:paraId="1A17A4A0">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本标准的技术要求和方法经过多轮专家论证和实践验证，确保其科学性和可行性。通过案例分析、模拟实验等方式对标准中的关键技术条款进行验证，确保其在实际应用中的有效性和可靠性。</w:t>
      </w:r>
    </w:p>
    <w:p w14:paraId="4B14C911">
      <w:pPr>
        <w:pStyle w:val="3"/>
        <w:widowControl/>
        <w:shd w:val="clear" w:color="auto" w:fill="FFFFFF"/>
        <w:spacing w:beforeAutospacing="0" w:afterAutospacing="0" w:line="360" w:lineRule="auto"/>
        <w:rPr>
          <w:rFonts w:cs="宋体"/>
          <w:b w:val="0"/>
          <w:bCs w:val="0"/>
          <w:color w:val="000000"/>
          <w:sz w:val="24"/>
          <w:szCs w:val="24"/>
        </w:rPr>
      </w:pPr>
      <w:r>
        <w:rPr>
          <w:rFonts w:cs="宋体"/>
          <w:color w:val="000000"/>
          <w:sz w:val="24"/>
          <w:szCs w:val="24"/>
          <w:shd w:val="clear" w:color="auto" w:fill="FFFFFF"/>
        </w:rPr>
        <w:t>三、与现行法律法规、强制性标准和其他有关标准的关系，采用国际标准的程度及水平简要说明</w:t>
      </w:r>
    </w:p>
    <w:p w14:paraId="703AF22C">
      <w:pPr>
        <w:widowControl/>
        <w:shd w:val="clear" w:color="auto" w:fill="FFFFFF"/>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shd w:val="clear" w:color="auto" w:fill="FFFFFF"/>
          <w:lang w:bidi="ar"/>
        </w:rPr>
        <w:t>本标准与现行法律法规、强制性标准和其他有关标准保持协调一致。本标准与《中国药典》《细胞治疗产品生产质量管理指南》、YY/T 1810-2022、YY/T 1562-2017 等保持协调一致，仅组合现有方法与共识值，不增设新强制指标。与国际标准 ISO 13019:2018、ASTM F2150-19 技术参数兼容，为未来对标转化预留接口。</w:t>
      </w:r>
    </w:p>
    <w:p w14:paraId="6348A2F5">
      <w:pPr>
        <w:pStyle w:val="3"/>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四、重大分歧意见的处理结果和依据</w:t>
      </w:r>
    </w:p>
    <w:p w14:paraId="7BE8D89C">
      <w:pPr>
        <w:widowControl/>
        <w:shd w:val="clear" w:color="auto" w:fill="FFFFFF"/>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shd w:val="clear" w:color="auto" w:fill="FFFFFF"/>
          <w:lang w:bidi="ar"/>
        </w:rPr>
        <w:t>本标准制定过程中无重大分歧。</w:t>
      </w:r>
    </w:p>
    <w:p w14:paraId="2E25A171">
      <w:pPr>
        <w:pStyle w:val="3"/>
        <w:widowControl/>
        <w:shd w:val="clear" w:color="auto" w:fill="FFFFFF"/>
        <w:spacing w:beforeAutospacing="0" w:afterAutospacing="0" w:line="360" w:lineRule="auto"/>
        <w:rPr>
          <w:rFonts w:cs="宋体"/>
          <w:b w:val="0"/>
          <w:bCs w:val="0"/>
          <w:color w:val="000000"/>
          <w:sz w:val="24"/>
          <w:szCs w:val="24"/>
        </w:rPr>
      </w:pPr>
      <w:r>
        <w:rPr>
          <w:rFonts w:cs="宋体"/>
          <w:color w:val="000000"/>
          <w:sz w:val="24"/>
          <w:szCs w:val="24"/>
          <w:shd w:val="clear" w:color="auto" w:fill="FFFFFF"/>
        </w:rPr>
        <w:t>五、贯彻促进会标准的要求和措施建议（包括组织措施、技术措施、过渡办法等内容）</w:t>
      </w:r>
    </w:p>
    <w:p w14:paraId="14F3303A">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1.组织措施</w:t>
      </w:r>
      <w:r>
        <w:rPr>
          <w:rFonts w:hint="eastAsia" w:ascii="宋体" w:hAnsi="宋体" w:eastAsia="宋体" w:cs="宋体"/>
          <w:color w:val="000000"/>
          <w:sz w:val="21"/>
          <w:szCs w:val="21"/>
          <w:shd w:val="clear" w:color="auto" w:fill="FFFFFF"/>
        </w:rPr>
        <w:t>：标准发布后，成立专门的标准推广组织，负责协调各方资源，推动标准的实施。组织标准培训会议，邀请标准起草人对医疗机构相关人员进行培训，确保理解和掌握标准内容。</w:t>
      </w:r>
    </w:p>
    <w:p w14:paraId="68CE75EA">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2.技术措施</w:t>
      </w:r>
      <w:r>
        <w:rPr>
          <w:rFonts w:hint="eastAsia" w:ascii="宋体" w:hAnsi="宋体" w:eastAsia="宋体" w:cs="宋体"/>
          <w:color w:val="000000"/>
          <w:sz w:val="21"/>
          <w:szCs w:val="21"/>
          <w:shd w:val="clear" w:color="auto" w:fill="FFFFFF"/>
        </w:rPr>
        <w:t>：开发相关的技术支持工具，如“构建过程记录表”与“质量判定报告”模板等，辅助参编单位按照标准开展工作。建立技术咨询平台，及时解答实施过程中的技术问题。</w:t>
      </w:r>
    </w:p>
    <w:p w14:paraId="43DA25C4">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3.过渡办法</w:t>
      </w:r>
      <w:r>
        <w:rPr>
          <w:rFonts w:hint="eastAsia" w:ascii="宋体" w:hAnsi="宋体" w:eastAsia="宋体" w:cs="宋体"/>
          <w:color w:val="000000"/>
          <w:sz w:val="21"/>
          <w:szCs w:val="21"/>
          <w:shd w:val="clear" w:color="auto" w:fill="FFFFFF"/>
        </w:rPr>
        <w:t>：给予参编单位一定的过渡期，在过渡期内逐步调整临床实践以符合标准要求。针对部分条件有限的单位，提供技术帮扶和指导，帮助其达到标准规定的水平。</w:t>
      </w:r>
    </w:p>
    <w:p w14:paraId="7F1B3C8F">
      <w:pPr>
        <w:pStyle w:val="3"/>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六、其他应予说明的事项</w:t>
      </w:r>
    </w:p>
    <w:p w14:paraId="2E25F6ED">
      <w:pPr>
        <w:widowControl/>
        <w:shd w:val="clear" w:color="auto" w:fill="FFFFFF"/>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shd w:val="clear" w:color="auto" w:fill="FFFFFF"/>
          <w:lang w:bidi="ar"/>
        </w:rPr>
        <w:t>本标准</w:t>
      </w:r>
      <w:bookmarkStart w:id="0" w:name="_GoBack"/>
      <w:bookmarkEnd w:id="0"/>
      <w:r>
        <w:rPr>
          <w:rFonts w:hint="eastAsia" w:ascii="宋体" w:hAnsi="宋体" w:eastAsia="宋体" w:cs="宋体"/>
          <w:kern w:val="0"/>
          <w:sz w:val="21"/>
          <w:szCs w:val="21"/>
          <w:shd w:val="clear" w:color="auto" w:fill="FFFFFF"/>
          <w:lang w:bidi="ar"/>
        </w:rPr>
        <w:t>不涉及专利问题。后续将根据行业发展，定期对标准进行修订和完善，确保其持续满足行业需求，推动行业的不断进步。</w:t>
      </w:r>
    </w:p>
    <w:p w14:paraId="04064C47">
      <w:pPr>
        <w:rPr>
          <w:rStyle w:val="9"/>
          <w:rFonts w:ascii="Segoe UI" w:hAnsi="Segoe UI" w:eastAsia="Segoe UI" w:cs="Segoe UI"/>
          <w:bCs/>
          <w:color w:val="000000"/>
          <w:sz w:val="13"/>
          <w:szCs w:val="13"/>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28EEF9"/>
    <w:multiLevelType w:val="singleLevel"/>
    <w:tmpl w:val="6528EEF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CD198A"/>
    <w:rsid w:val="00013EA6"/>
    <w:rsid w:val="000256F4"/>
    <w:rsid w:val="000414B6"/>
    <w:rsid w:val="000A1A85"/>
    <w:rsid w:val="002175B2"/>
    <w:rsid w:val="0032583B"/>
    <w:rsid w:val="006433EA"/>
    <w:rsid w:val="00B11C67"/>
    <w:rsid w:val="00B37198"/>
    <w:rsid w:val="00D153E4"/>
    <w:rsid w:val="00E33541"/>
    <w:rsid w:val="00ED4488"/>
    <w:rsid w:val="00F45AA9"/>
    <w:rsid w:val="00FC5128"/>
    <w:rsid w:val="0FC14BAE"/>
    <w:rsid w:val="1029421A"/>
    <w:rsid w:val="10F42D61"/>
    <w:rsid w:val="1ABF0C7A"/>
    <w:rsid w:val="59CD198A"/>
    <w:rsid w:val="68A77F59"/>
    <w:rsid w:val="6F1C2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uiPriority w:val="0"/>
    <w:pPr>
      <w:tabs>
        <w:tab w:val="center" w:pos="4153"/>
        <w:tab w:val="right" w:pos="8306"/>
      </w:tabs>
      <w:snapToGrid w:val="0"/>
      <w:jc w:val="center"/>
    </w:pPr>
    <w:rPr>
      <w:sz w:val="18"/>
      <w:szCs w:val="18"/>
    </w:rPr>
  </w:style>
  <w:style w:type="character" w:styleId="9">
    <w:name w:val="Strong"/>
    <w:basedOn w:val="8"/>
    <w:qFormat/>
    <w:uiPriority w:val="0"/>
    <w:rPr>
      <w:b/>
    </w:rPr>
  </w:style>
  <w:style w:type="character" w:customStyle="1" w:styleId="10">
    <w:name w:val="页眉 字符"/>
    <w:basedOn w:val="8"/>
    <w:link w:val="6"/>
    <w:uiPriority w:val="0"/>
    <w:rPr>
      <w:rFonts w:asciiTheme="minorHAnsi" w:hAnsiTheme="minorHAnsi" w:eastAsiaTheme="minorEastAsia" w:cstheme="minorBidi"/>
      <w:kern w:val="2"/>
      <w:sz w:val="18"/>
      <w:szCs w:val="18"/>
    </w:rPr>
  </w:style>
  <w:style w:type="character" w:customStyle="1" w:styleId="11">
    <w:name w:val="页脚 字符"/>
    <w:basedOn w:val="8"/>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2138</Words>
  <Characters>2281</Characters>
  <Lines>105</Lines>
  <Paragraphs>75</Paragraphs>
  <TotalTime>0</TotalTime>
  <ScaleCrop>false</ScaleCrop>
  <LinksUpToDate>false</LinksUpToDate>
  <CharactersWithSpaces>2301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2025-09-24T09:06:00Z</dcterms:created>
  <dc:creator>陈</dc:creator>
  <cp:lastModifiedBy>Amy</cp:lastModifiedBy>
  <dcterms:modified xsi:type="dcterms:W3CDTF">2025-12-02T07:55:00Z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B483C4DFC93B41F28371A48B176347CE_11</vt:lpwstr>
  </property>
  <property fmtid="{D5CDD505-2E9C-101B-9397-08002B2CF9AE}" pid="4" name="KSOTemplateDocerSaveRecord">
    <vt:lpwstr>eyJoZGlkIjoiMTUzNGMyMWMzMDdiODE1OGUzZGY4Y2FmOTI4YTAyY2EiLCJ1c2VySWQiOiI1Mzg4NzMyMzEifQ==</vt:lpwstr>
  </property>
</Properties>
</file>